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делу № 2-</w:t>
      </w:r>
      <w:r>
        <w:rPr>
          <w:rFonts w:ascii="Times New Roman" w:eastAsia="Times New Roman" w:hAnsi="Times New Roman" w:cs="Times New Roman"/>
          <w:sz w:val="26"/>
          <w:szCs w:val="26"/>
        </w:rPr>
        <w:t>4856</w:t>
      </w:r>
      <w:r>
        <w:rPr>
          <w:rFonts w:ascii="Times New Roman" w:eastAsia="Times New Roman" w:hAnsi="Times New Roman" w:cs="Times New Roman"/>
          <w:sz w:val="26"/>
          <w:szCs w:val="26"/>
        </w:rPr>
        <w:t>-1505/202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7153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онда пенсионного и социального страхования Российской Федерации по Ханты-Мансийскому автономному округу–Югре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Рынковой Анфисе Яковлевне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 полученной дополнительной единовременной выплаты,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округу–Югре к Рынковой Анфисе Яковлевне о взыскании незаконно полученной дополнительной единовременной выплаты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Рынковой Анфисы Яковлевны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2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округу–Югре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grp-2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обогащени</w:t>
      </w:r>
      <w:r>
        <w:rPr>
          <w:rFonts w:ascii="Times New Roman" w:eastAsia="Times New Roman" w:hAnsi="Times New Roman" w:cs="Times New Roman"/>
          <w:sz w:val="28"/>
          <w:szCs w:val="28"/>
        </w:rPr>
        <w:t>е в незаконно полученной дополнительной единовременной выплаты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сумме 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Рынковой Анфисы Яковлевны (</w:t>
      </w:r>
      <w:r>
        <w:rPr>
          <w:rStyle w:val="cat-UserDefinedgrp-2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пошлину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бюджета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</w:t>
      </w:r>
      <w:r>
        <w:rPr>
          <w:rFonts w:ascii="Times New Roman" w:eastAsia="Times New Roman" w:hAnsi="Times New Roman" w:cs="Times New Roman"/>
          <w:sz w:val="28"/>
          <w:szCs w:val="28"/>
        </w:rPr>
        <w:t>коп. с перечислением в Отделение Тула Банка России//УФК по Тульской области г. Тула, получатель: «Казначейство России (ФНС России)», ИНН 7727406020, КПП 770801001, ЕКС 40102810445370000059, сч. № 03100643000000018500, БИК 017003983, ОКТМО 71826000, КБК 18210803010011050110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1rplc-22">
    <w:name w:val="cat-UserDefined grp-21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